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A2F" w:rsidRDefault="00A93A64">
      <w:bookmarkStart w:id="0" w:name="_GoBack"/>
      <w:bookmarkEnd w:id="0"/>
      <w:r w:rsidRPr="00A93A64">
        <w:rPr>
          <w:noProof/>
        </w:rPr>
        <w:drawing>
          <wp:inline distT="0" distB="0" distL="0" distR="0">
            <wp:extent cx="6700412" cy="4781321"/>
            <wp:effectExtent l="19050" t="0" r="24238" b="229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5F5A72" w:rsidRDefault="005F5A72"/>
    <w:p w:rsidR="005F5A72" w:rsidRDefault="005F5A72">
      <w:r w:rsidRPr="005F5A72">
        <w:rPr>
          <w:noProof/>
        </w:rPr>
        <w:drawing>
          <wp:inline distT="0" distB="0" distL="0" distR="0">
            <wp:extent cx="6767340" cy="4208443"/>
            <wp:effectExtent l="19050" t="0" r="14460" b="1607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5F5A72" w:rsidSect="005F5A72">
      <w:pgSz w:w="11906" w:h="16838"/>
      <w:pgMar w:top="567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A64"/>
    <w:rsid w:val="00150333"/>
    <w:rsid w:val="0017661F"/>
    <w:rsid w:val="00296EF4"/>
    <w:rsid w:val="004939B8"/>
    <w:rsid w:val="00497358"/>
    <w:rsid w:val="005A423D"/>
    <w:rsid w:val="005D18DB"/>
    <w:rsid w:val="005F5A72"/>
    <w:rsid w:val="00621A2F"/>
    <w:rsid w:val="00732F43"/>
    <w:rsid w:val="007819AD"/>
    <w:rsid w:val="008E0F3D"/>
    <w:rsid w:val="009A1FC4"/>
    <w:rsid w:val="00A93A64"/>
    <w:rsid w:val="00EC45D6"/>
    <w:rsid w:val="00FD0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A64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A1FC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A1FC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1FC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A1FC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9A1FC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93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3A64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3;&#1102;&#1076;&#1078;&#1077;&#1090;%202018\&#1044;&#1110;&#1072;&#1075;&#1088;&#1072;&#1084;&#1072;%20&#1089;&#1090;&#1088;&#1091;&#1082;&#1090;&#1091;&#1088;&#1072;%20&#1076;&#1086;&#1093;&#1086;&#1076;&#1110;&#1074;%202019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2;&#1054;&#1031;%20&#1044;&#1054;&#1050;&#1059;&#1052;&#1045;&#1053;&#1058;&#1048;\&#1073;&#1102;&#1076;&#1078;&#1077;&#1090;%202018\&#1044;&#1110;&#1072;&#1075;&#1088;&#1072;&#1084;&#1072;%20&#1089;&#1090;&#1088;&#1091;&#1082;&#1090;&#1091;&#1088;&#1072;%20&#1076;&#1086;&#1093;&#1086;&#1076;&#1110;&#1074;%202019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500" i="1">
                <a:latin typeface="+mj-lt"/>
              </a:defRPr>
            </a:pPr>
            <a:r>
              <a:rPr lang="ru-RU" sz="1500" i="1">
                <a:latin typeface="+mj-lt"/>
              </a:rPr>
              <a:t>Структура доходів бюджету м. Вараш на 2019 рік -</a:t>
            </a:r>
          </a:p>
          <a:p>
            <a:pPr>
              <a:defRPr sz="1500" i="1">
                <a:latin typeface="+mj-lt"/>
              </a:defRPr>
            </a:pPr>
            <a:r>
              <a:rPr lang="ru-RU" sz="1500" i="1">
                <a:latin typeface="+mj-lt"/>
              </a:rPr>
              <a:t>553,8 млн. грн.</a:t>
            </a:r>
          </a:p>
        </c:rich>
      </c:tx>
      <c:layout>
        <c:manualLayout>
          <c:xMode val="edge"/>
          <c:yMode val="edge"/>
          <c:x val="0.17070196550340971"/>
          <c:y val="3.1189083820662794E-2"/>
        </c:manualLayout>
      </c:layout>
      <c:overlay val="0"/>
    </c:title>
    <c:autoTitleDeleted val="0"/>
    <c:view3D>
      <c:rotX val="50"/>
      <c:rotY val="1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7086725413302944"/>
          <c:y val="0.10610477731990803"/>
          <c:w val="0.76399632356424763"/>
          <c:h val="0.82990079456442312"/>
        </c:manualLayout>
      </c:layout>
      <c:pie3DChart>
        <c:varyColors val="1"/>
        <c:ser>
          <c:idx val="0"/>
          <c:order val="0"/>
          <c:explosion val="9"/>
          <c:dPt>
            <c:idx val="0"/>
            <c:bubble3D val="0"/>
            <c:spPr>
              <a:solidFill>
                <a:schemeClr val="accent4">
                  <a:lumMod val="60000"/>
                  <a:lumOff val="40000"/>
                </a:schemeClr>
              </a:solidFill>
            </c:spPr>
          </c:dPt>
          <c:dPt>
            <c:idx val="1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2"/>
            <c:bubble3D val="0"/>
            <c:explosion val="18"/>
            <c:spPr>
              <a:solidFill>
                <a:srgbClr val="C00000"/>
              </a:solidFill>
            </c:spPr>
          </c:dPt>
          <c:dPt>
            <c:idx val="3"/>
            <c:bubble3D val="0"/>
            <c:spPr>
              <a:solidFill>
                <a:schemeClr val="accent5">
                  <a:lumMod val="20000"/>
                  <a:lumOff val="80000"/>
                </a:schemeClr>
              </a:solidFill>
            </c:spPr>
          </c:dPt>
          <c:dLbls>
            <c:dLbl>
              <c:idx val="0"/>
              <c:layout>
                <c:manualLayout>
                  <c:x val="-0.22112465536205039"/>
                  <c:y val="-0.25062619284781024"/>
                </c:manualLayout>
              </c:layout>
              <c:tx>
                <c:rich>
                  <a:bodyPr/>
                  <a:lstStyle/>
                  <a:p>
                    <a:pPr>
                      <a:defRPr sz="1100" i="1">
                        <a:latin typeface="+mj-lt"/>
                      </a:defRPr>
                    </a:pPr>
                    <a:r>
                      <a:rPr lang="ru-RU" sz="1100" i="1">
                        <a:latin typeface="+mj-lt"/>
                      </a:rPr>
                      <a:t>Податкові надходження;                   381,6 млн.грн</a:t>
                    </a:r>
                  </a:p>
                </c:rich>
              </c:tx>
              <c:spPr>
                <a:ln>
                  <a:noFill/>
                  <a:prstDash val="dash"/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6148522950876661E-2"/>
                  <c:y val="0.11154170056228366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Неподаткові надходження;</a:t>
                    </a:r>
                  </a:p>
                  <a:p>
                    <a:r>
                      <a:rPr lang="ru-RU" sz="900"/>
                      <a:t> 12,3 млн..грн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975872166453061E-2"/>
                  <c:y val="-0.18194348916282829"/>
                </c:manualLayout>
              </c:layout>
              <c:tx>
                <c:rich>
                  <a:bodyPr/>
                  <a:lstStyle/>
                  <a:p>
                    <a:r>
                      <a:rPr lang="ru-RU" sz="900"/>
                      <a:t>Доходи від операцій з капіталом;</a:t>
                    </a:r>
                  </a:p>
                  <a:p>
                    <a:r>
                      <a:rPr lang="ru-RU" sz="900"/>
                      <a:t> 0,07 млн.грн</a:t>
                    </a:r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0.13912125605237974"/>
                  <c:y val="0.14543138248069912"/>
                </c:manualLayout>
              </c:layout>
              <c:tx>
                <c:rich>
                  <a:bodyPr/>
                  <a:lstStyle/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>
                        <a:latin typeface="+mj-lt"/>
                      </a:rPr>
                      <a:t>Офіційні трансферти; </a:t>
                    </a:r>
                  </a:p>
                  <a:p>
                    <a:pPr>
                      <a:defRPr sz="1000" i="1">
                        <a:latin typeface="+mj-lt"/>
                      </a:defRPr>
                    </a:pPr>
                    <a:r>
                      <a:rPr lang="ru-RU" sz="1000" i="1">
                        <a:latin typeface="+mj-lt"/>
                      </a:rPr>
                      <a:t>159 ,8 млн.грн</a:t>
                    </a:r>
                  </a:p>
                </c:rich>
              </c:tx>
              <c:spPr>
                <a:ln>
                  <a:noFill/>
                  <a:prstDash val="dash"/>
                </a:ln>
              </c:sp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spPr>
              <a:ln>
                <a:noFill/>
                <a:prstDash val="dash"/>
              </a:ln>
            </c:spPr>
            <c:txPr>
              <a:bodyPr/>
              <a:lstStyle/>
              <a:p>
                <a:pPr>
                  <a:defRPr sz="900" i="1">
                    <a:latin typeface="+mj-lt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>
                  <a:solidFill>
                    <a:schemeClr val="accent4">
                      <a:lumMod val="75000"/>
                    </a:schemeClr>
                  </a:solidFill>
                </a:ln>
              </c:spPr>
            </c:leaderLines>
          </c:dLbls>
          <c:cat>
            <c:strRef>
              <c:f>доходи!$A$3:$A$6</c:f>
              <c:strCache>
                <c:ptCount val="4"/>
                <c:pt idx="0">
                  <c:v>Податкові надходження</c:v>
                </c:pt>
                <c:pt idx="1">
                  <c:v>Неподаткові надходження</c:v>
                </c:pt>
                <c:pt idx="2">
                  <c:v>Доходи від операцій з капіталом</c:v>
                </c:pt>
                <c:pt idx="3">
                  <c:v>Офіційні трансферти</c:v>
                </c:pt>
              </c:strCache>
            </c:strRef>
          </c:cat>
          <c:val>
            <c:numRef>
              <c:f>доходи!$B$3:$B$6</c:f>
              <c:numCache>
                <c:formatCode>#,##0.00</c:formatCode>
                <c:ptCount val="4"/>
                <c:pt idx="0" formatCode="#,##0.0">
                  <c:v>381641.6</c:v>
                </c:pt>
                <c:pt idx="1">
                  <c:v>12330.859999999988</c:v>
                </c:pt>
                <c:pt idx="2" formatCode="#,##0.0">
                  <c:v>70</c:v>
                </c:pt>
                <c:pt idx="3">
                  <c:v>159773.28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i="1">
                <a:latin typeface="Times New Roman" pitchFamily="18" charset="0"/>
                <a:cs typeface="Times New Roman" pitchFamily="18" charset="0"/>
              </a:defRPr>
            </a:pPr>
            <a:r>
              <a:rPr lang="ru-RU" sz="1600" i="1">
                <a:latin typeface="Times New Roman" pitchFamily="18" charset="0"/>
                <a:cs typeface="Times New Roman" pitchFamily="18" charset="0"/>
              </a:rPr>
              <a:t>Структура доходної</a:t>
            </a:r>
            <a:r>
              <a:rPr lang="ru-RU" sz="1600" i="1" baseline="0">
                <a:latin typeface="Times New Roman" pitchFamily="18" charset="0"/>
                <a:cs typeface="Times New Roman" pitchFamily="18" charset="0"/>
              </a:rPr>
              <a:t> частини бюджету м.Вараш  </a:t>
            </a:r>
          </a:p>
          <a:p>
            <a:pPr>
              <a:defRPr sz="1600" i="1">
                <a:latin typeface="Times New Roman" pitchFamily="18" charset="0"/>
                <a:cs typeface="Times New Roman" pitchFamily="18" charset="0"/>
              </a:defRPr>
            </a:pPr>
            <a:r>
              <a:rPr lang="ru-RU" sz="1600" i="1" baseline="0">
                <a:latin typeface="Times New Roman" pitchFamily="18" charset="0"/>
                <a:cs typeface="Times New Roman" pitchFamily="18" charset="0"/>
              </a:rPr>
              <a:t>на 2019 рік   -  553,8 млн.грн.</a:t>
            </a:r>
            <a:endParaRPr lang="ru-RU" sz="1600" i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6445309383007226"/>
          <c:y val="0"/>
        </c:manualLayout>
      </c:layout>
      <c:overlay val="0"/>
    </c:title>
    <c:autoTitleDeleted val="0"/>
    <c:view3D>
      <c:rotX val="30"/>
      <c:rotY val="8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2023660699772756E-2"/>
          <c:y val="3.5607468130137439E-2"/>
          <c:w val="0.67778536322986638"/>
          <c:h val="0.96137573919855912"/>
        </c:manualLayout>
      </c:layout>
      <c:pie3DChart>
        <c:varyColors val="1"/>
        <c:ser>
          <c:idx val="0"/>
          <c:order val="0"/>
          <c:explosion val="5"/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spPr>
              <a:solidFill>
                <a:srgbClr val="CCFFFF"/>
              </a:solidFill>
            </c:spPr>
          </c:dPt>
          <c:dPt>
            <c:idx val="2"/>
            <c:bubble3D val="0"/>
            <c:spPr>
              <a:solidFill>
                <a:schemeClr val="tx2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0.25724789947010179"/>
                  <c:y val="-0.26947400737042215"/>
                </c:manualLayout>
              </c:layout>
              <c:tx>
                <c:rich>
                  <a:bodyPr/>
                  <a:lstStyle/>
                  <a:p>
                    <a:pPr>
                      <a:defRPr sz="11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1100" i="1">
                        <a:latin typeface="Times New Roman" pitchFamily="18" charset="0"/>
                        <a:cs typeface="Times New Roman" pitchFamily="18" charset="0"/>
                      </a:rPr>
                      <a:t>383</a:t>
                    </a:r>
                    <a:r>
                      <a:rPr lang="uk-UA" sz="1100" i="1">
                        <a:latin typeface="Times New Roman" pitchFamily="18" charset="0"/>
                        <a:cs typeface="Times New Roman" pitchFamily="18" charset="0"/>
                      </a:rPr>
                      <a:t>,2 млн. грн</a:t>
                    </a:r>
                    <a:endParaRPr lang="en-US" sz="1100" i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2036294910555699"/>
                  <c:y val="9.9069893544952492E-2"/>
                </c:manualLayout>
              </c:layout>
              <c:tx>
                <c:rich>
                  <a:bodyPr/>
                  <a:lstStyle/>
                  <a:p>
                    <a:pPr>
                      <a:defRPr sz="11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1100" i="1">
                        <a:latin typeface="Times New Roman" pitchFamily="18" charset="0"/>
                        <a:cs typeface="Times New Roman" pitchFamily="18" charset="0"/>
                      </a:rPr>
                      <a:t>159</a:t>
                    </a:r>
                    <a:r>
                      <a:rPr lang="uk-UA" sz="1100" i="1">
                        <a:latin typeface="Times New Roman" pitchFamily="18" charset="0"/>
                        <a:cs typeface="Times New Roman" pitchFamily="18" charset="0"/>
                      </a:rPr>
                      <a:t>,8 млн.грн</a:t>
                    </a:r>
                    <a:endParaRPr lang="en-US" sz="1100" i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981656012554416E-3"/>
                  <c:y val="-6.0357239007395425E-2"/>
                </c:manualLayout>
              </c:layout>
              <c:tx>
                <c:rich>
                  <a:bodyPr/>
                  <a:lstStyle/>
                  <a:p>
                    <a:pPr>
                      <a:defRPr sz="1100" i="1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en-US" sz="1100" i="1">
                        <a:latin typeface="Times New Roman" pitchFamily="18" charset="0"/>
                        <a:cs typeface="Times New Roman" pitchFamily="18" charset="0"/>
                      </a:rPr>
                      <a:t>10</a:t>
                    </a:r>
                    <a:r>
                      <a:rPr lang="uk-UA" sz="1100" i="1">
                        <a:latin typeface="Times New Roman" pitchFamily="18" charset="0"/>
                        <a:cs typeface="Times New Roman" pitchFamily="18" charset="0"/>
                      </a:rPr>
                      <a:t>,8млн..грн</a:t>
                    </a:r>
                    <a:endParaRPr lang="en-US" sz="1100" i="1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доходи!$A$10:$A$12</c:f>
              <c:strCache>
                <c:ptCount val="3"/>
                <c:pt idx="0">
                  <c:v>Власні доходи загального фонду</c:v>
                </c:pt>
                <c:pt idx="1">
                  <c:v>Офіційні трансферти</c:v>
                </c:pt>
                <c:pt idx="2">
                  <c:v>Спеціальний фонд</c:v>
                </c:pt>
              </c:strCache>
            </c:strRef>
          </c:cat>
          <c:val>
            <c:numRef>
              <c:f>доходи!$B$10:$B$12</c:f>
              <c:numCache>
                <c:formatCode>#,##0.00</c:formatCode>
                <c:ptCount val="3"/>
                <c:pt idx="0">
                  <c:v>383251.6</c:v>
                </c:pt>
                <c:pt idx="1">
                  <c:v>159773.28</c:v>
                </c:pt>
                <c:pt idx="2">
                  <c:v>10790.859999999988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65460816214347251"/>
          <c:y val="0.70229655005425951"/>
          <c:w val="0.33355589113004802"/>
          <c:h val="0.27254498165104973"/>
        </c:manualLayout>
      </c:layout>
      <c:overlay val="0"/>
      <c:txPr>
        <a:bodyPr/>
        <a:lstStyle/>
        <a:p>
          <a:pPr rtl="0">
            <a:defRPr sz="1100" b="1" i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DohLuda</dc:creator>
  <cp:lastModifiedBy>Пользователь Windows</cp:lastModifiedBy>
  <cp:revision>2</cp:revision>
  <dcterms:created xsi:type="dcterms:W3CDTF">2018-12-21T10:47:00Z</dcterms:created>
  <dcterms:modified xsi:type="dcterms:W3CDTF">2018-12-21T10:47:00Z</dcterms:modified>
</cp:coreProperties>
</file>